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6F" w:rsidRPr="009318E1" w:rsidRDefault="0078626F" w:rsidP="0078626F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 xml:space="preserve">ЗАТВЕРДЖЕНО  </w:t>
      </w:r>
    </w:p>
    <w:p w:rsidR="0078626F" w:rsidRDefault="0078626F" w:rsidP="0078626F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>наказ директора Департаменту</w:t>
      </w:r>
    </w:p>
    <w:p w:rsidR="0078626F" w:rsidRDefault="0078626F" w:rsidP="0078626F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>екології</w:t>
      </w:r>
      <w:r>
        <w:rPr>
          <w:b/>
          <w:sz w:val="26"/>
          <w:szCs w:val="26"/>
        </w:rPr>
        <w:t xml:space="preserve"> </w:t>
      </w:r>
      <w:r w:rsidRPr="009318E1">
        <w:rPr>
          <w:b/>
          <w:sz w:val="26"/>
          <w:szCs w:val="26"/>
        </w:rPr>
        <w:t>та природних ресурсів</w:t>
      </w:r>
    </w:p>
    <w:p w:rsidR="0078626F" w:rsidRDefault="0078626F" w:rsidP="0078626F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 xml:space="preserve">Чернігівської </w:t>
      </w:r>
      <w:r>
        <w:rPr>
          <w:b/>
          <w:sz w:val="26"/>
          <w:szCs w:val="26"/>
        </w:rPr>
        <w:t>обласної державної</w:t>
      </w:r>
    </w:p>
    <w:p w:rsidR="0078626F" w:rsidRPr="009318E1" w:rsidRDefault="0078626F" w:rsidP="0078626F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адміністрації</w:t>
      </w:r>
    </w:p>
    <w:p w:rsidR="0078626F" w:rsidRPr="009318E1" w:rsidRDefault="0078626F" w:rsidP="0078626F">
      <w:pPr>
        <w:tabs>
          <w:tab w:val="left" w:pos="3300"/>
        </w:tabs>
        <w:ind w:firstLine="4962"/>
        <w:rPr>
          <w:b/>
          <w:sz w:val="24"/>
          <w:szCs w:val="24"/>
        </w:rPr>
      </w:pPr>
      <w:r>
        <w:rPr>
          <w:b/>
          <w:sz w:val="26"/>
          <w:szCs w:val="26"/>
        </w:rPr>
        <w:t>від «23</w:t>
      </w:r>
      <w:r w:rsidRPr="009318E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вересня</w:t>
      </w:r>
      <w:r w:rsidRPr="009318E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 року № 134</w:t>
      </w:r>
      <w:r>
        <w:rPr>
          <w:b/>
          <w:sz w:val="26"/>
          <w:szCs w:val="26"/>
        </w:rPr>
        <w:t>-к</w:t>
      </w:r>
      <w:bookmarkStart w:id="0" w:name="_GoBack"/>
      <w:bookmarkEnd w:id="0"/>
    </w:p>
    <w:p w:rsidR="0078626F" w:rsidRPr="00F36C66" w:rsidRDefault="0078626F" w:rsidP="0078626F">
      <w:pPr>
        <w:tabs>
          <w:tab w:val="left" w:pos="3300"/>
        </w:tabs>
        <w:rPr>
          <w:sz w:val="24"/>
          <w:szCs w:val="24"/>
        </w:rPr>
      </w:pPr>
    </w:p>
    <w:p w:rsidR="0078626F" w:rsidRPr="00F36C66" w:rsidRDefault="0078626F" w:rsidP="0078626F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F36C66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78626F" w:rsidRPr="00F36C66" w:rsidRDefault="0078626F" w:rsidP="0078626F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>на зайняття вакантної посади державної служби категорії «</w:t>
      </w:r>
      <w:r>
        <w:rPr>
          <w:rFonts w:eastAsia="Calibri"/>
          <w:b/>
          <w:bCs/>
          <w:sz w:val="24"/>
          <w:szCs w:val="24"/>
          <w:lang w:eastAsia="uk-UA"/>
        </w:rPr>
        <w:t>Б</w:t>
      </w:r>
      <w:r w:rsidRPr="00F36C66">
        <w:rPr>
          <w:rFonts w:eastAsia="Calibri"/>
          <w:b/>
          <w:bCs/>
          <w:sz w:val="24"/>
          <w:szCs w:val="24"/>
          <w:lang w:eastAsia="uk-UA"/>
        </w:rPr>
        <w:t>» –</w:t>
      </w:r>
    </w:p>
    <w:p w:rsidR="0078626F" w:rsidRPr="00F36C66" w:rsidRDefault="0078626F" w:rsidP="0078626F">
      <w:pPr>
        <w:tabs>
          <w:tab w:val="left" w:pos="993"/>
        </w:tabs>
        <w:autoSpaceDE w:val="0"/>
        <w:autoSpaceDN w:val="0"/>
        <w:ind w:left="720"/>
        <w:jc w:val="center"/>
        <w:rPr>
          <w:rFonts w:eastAsia="Calibri"/>
          <w:sz w:val="24"/>
          <w:szCs w:val="24"/>
          <w:lang w:eastAsia="uk-UA"/>
        </w:rPr>
      </w:pPr>
      <w:r w:rsidRPr="00736509">
        <w:rPr>
          <w:b/>
          <w:sz w:val="24"/>
          <w:szCs w:val="24"/>
        </w:rPr>
        <w:t>начальника відділу бухгалтерського обліку, фінансів та адміністративної роботи управління бюджетного фінансування та природних ресурсів</w:t>
      </w:r>
      <w:r w:rsidRPr="00736509">
        <w:rPr>
          <w:sz w:val="24"/>
          <w:szCs w:val="24"/>
        </w:rPr>
        <w:t xml:space="preserve"> </w:t>
      </w:r>
      <w:r w:rsidRPr="00F36C66">
        <w:rPr>
          <w:rFonts w:eastAsia="Calibri"/>
          <w:b/>
          <w:bCs/>
          <w:sz w:val="24"/>
          <w:szCs w:val="24"/>
          <w:lang w:eastAsia="uk-UA"/>
        </w:rPr>
        <w:t>Департаменту екології та природних ресурсів Чернігівської обласної державної адміністрації</w:t>
      </w:r>
    </w:p>
    <w:p w:rsidR="0078626F" w:rsidRPr="00F36C66" w:rsidRDefault="0078626F" w:rsidP="0078626F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F36C66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78626F" w:rsidRPr="00F36C66" w:rsidTr="00075C2F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78626F" w:rsidRPr="00F36C66" w:rsidRDefault="0078626F" w:rsidP="00075C2F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78626F" w:rsidRPr="00F36C66" w:rsidTr="00075C2F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78626F" w:rsidRPr="005D0C88" w:rsidRDefault="0078626F" w:rsidP="00075C2F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5D0C88">
              <w:rPr>
                <w:sz w:val="24"/>
                <w:shd w:val="clear" w:color="auto" w:fill="FFFFFF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78626F" w:rsidRPr="00792BD4" w:rsidRDefault="0078626F" w:rsidP="00075C2F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1. </w:t>
            </w:r>
            <w:r w:rsidRPr="00283898">
              <w:rPr>
                <w:sz w:val="24"/>
                <w:shd w:val="clear" w:color="auto" w:fill="FFFFFF"/>
              </w:rPr>
              <w:t>Забезпеч</w:t>
            </w:r>
            <w:r>
              <w:rPr>
                <w:sz w:val="24"/>
                <w:shd w:val="clear" w:color="auto" w:fill="FFFFFF"/>
              </w:rPr>
              <w:t>ує</w:t>
            </w:r>
            <w:r w:rsidRPr="00283898">
              <w:rPr>
                <w:sz w:val="24"/>
                <w:shd w:val="clear" w:color="auto" w:fill="FFFFFF"/>
              </w:rPr>
              <w:t xml:space="preserve"> дотримання принципів законності та верховенства права у всіх сферах діяльності Департаменту</w:t>
            </w:r>
            <w:r>
              <w:rPr>
                <w:sz w:val="24"/>
                <w:shd w:val="clear" w:color="auto" w:fill="FFFFFF"/>
              </w:rPr>
              <w:t xml:space="preserve"> екології та природних ресурсів Чернігівської </w:t>
            </w:r>
            <w:r w:rsidRPr="00792BD4">
              <w:rPr>
                <w:rFonts w:eastAsia="Calibri"/>
                <w:bCs/>
                <w:sz w:val="24"/>
                <w:szCs w:val="24"/>
                <w:lang w:eastAsia="uk-UA"/>
              </w:rPr>
              <w:t>обласної державної адміністрації</w:t>
            </w:r>
            <w:r>
              <w:rPr>
                <w:rFonts w:eastAsia="Calibri"/>
                <w:bCs/>
                <w:sz w:val="24"/>
                <w:szCs w:val="24"/>
                <w:lang w:eastAsia="uk-UA"/>
              </w:rPr>
              <w:t xml:space="preserve"> (далі- Департамент).</w:t>
            </w:r>
          </w:p>
          <w:p w:rsidR="0078626F" w:rsidRPr="00283898" w:rsidRDefault="0078626F" w:rsidP="00075C2F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 w:rsidRPr="00792BD4">
              <w:rPr>
                <w:sz w:val="24"/>
                <w:shd w:val="clear" w:color="auto" w:fill="FFFFFF"/>
              </w:rPr>
              <w:t>2. Організовує роботу з ведення бухгалтерського обліку та</w:t>
            </w:r>
            <w:r w:rsidRPr="00283898">
              <w:rPr>
                <w:sz w:val="24"/>
                <w:shd w:val="clear" w:color="auto" w:fill="FFFFFF"/>
              </w:rPr>
              <w:t xml:space="preserve"> забезпечення виконання фінансово- економічних завдань, покладених на Департамент.</w:t>
            </w:r>
          </w:p>
          <w:p w:rsidR="0078626F" w:rsidRPr="00283898" w:rsidRDefault="0078626F" w:rsidP="00075C2F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3. Забезпечує п</w:t>
            </w:r>
            <w:r w:rsidRPr="00283898">
              <w:rPr>
                <w:sz w:val="24"/>
                <w:shd w:val="clear" w:color="auto" w:fill="FFFFFF"/>
              </w:rPr>
              <w:t>редставлення інтересів Департаменту в судах та інших органах за дорученням директора Департаменту.</w:t>
            </w:r>
          </w:p>
          <w:p w:rsidR="0078626F" w:rsidRPr="00283898" w:rsidRDefault="0078626F" w:rsidP="00075C2F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4. </w:t>
            </w:r>
            <w:r w:rsidRPr="00283898">
              <w:rPr>
                <w:sz w:val="24"/>
                <w:shd w:val="clear" w:color="auto" w:fill="FFFFFF"/>
              </w:rPr>
              <w:t>Перевір</w:t>
            </w:r>
            <w:r>
              <w:rPr>
                <w:sz w:val="24"/>
                <w:shd w:val="clear" w:color="auto" w:fill="FFFFFF"/>
              </w:rPr>
              <w:t>яє</w:t>
            </w:r>
            <w:r w:rsidRPr="00283898">
              <w:rPr>
                <w:sz w:val="24"/>
                <w:shd w:val="clear" w:color="auto" w:fill="FFFFFF"/>
              </w:rPr>
              <w:t xml:space="preserve"> на відповідність законодавству та міжнар</w:t>
            </w:r>
            <w:r>
              <w:rPr>
                <w:sz w:val="24"/>
                <w:shd w:val="clear" w:color="auto" w:fill="FFFFFF"/>
              </w:rPr>
              <w:t>одним договорам України проекти</w:t>
            </w:r>
            <w:r w:rsidRPr="00283898">
              <w:rPr>
                <w:sz w:val="24"/>
                <w:shd w:val="clear" w:color="auto" w:fill="FFFFFF"/>
              </w:rPr>
              <w:t xml:space="preserve"> наказів</w:t>
            </w:r>
            <w:r>
              <w:rPr>
                <w:sz w:val="24"/>
                <w:shd w:val="clear" w:color="auto" w:fill="FFFFFF"/>
              </w:rPr>
              <w:t xml:space="preserve">, </w:t>
            </w:r>
            <w:r w:rsidRPr="00283898">
              <w:rPr>
                <w:sz w:val="24"/>
                <w:shd w:val="clear" w:color="auto" w:fill="FFFFFF"/>
              </w:rPr>
              <w:t>договорів (контрактів),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283898">
              <w:rPr>
                <w:sz w:val="24"/>
                <w:shd w:val="clear" w:color="auto" w:fill="FFFFFF"/>
              </w:rPr>
              <w:t xml:space="preserve"> додаткових угод та інших актів, що подаються на підпис ди</w:t>
            </w:r>
            <w:r>
              <w:rPr>
                <w:sz w:val="24"/>
                <w:shd w:val="clear" w:color="auto" w:fill="FFFFFF"/>
              </w:rPr>
              <w:t>ректору Департаменту, погоджує</w:t>
            </w:r>
            <w:r w:rsidRPr="00283898">
              <w:rPr>
                <w:sz w:val="24"/>
                <w:shd w:val="clear" w:color="auto" w:fill="FFFFFF"/>
              </w:rPr>
              <w:t xml:space="preserve"> (візу</w:t>
            </w:r>
            <w:r>
              <w:rPr>
                <w:sz w:val="24"/>
                <w:shd w:val="clear" w:color="auto" w:fill="FFFFFF"/>
              </w:rPr>
              <w:t>є</w:t>
            </w:r>
            <w:r w:rsidRPr="00283898">
              <w:rPr>
                <w:sz w:val="24"/>
                <w:shd w:val="clear" w:color="auto" w:fill="FFFFFF"/>
              </w:rPr>
              <w:t>) їх за наявності віз керівників заінтересованих структурних підрозділів.</w:t>
            </w:r>
          </w:p>
          <w:p w:rsidR="0078626F" w:rsidRPr="00283898" w:rsidRDefault="0078626F" w:rsidP="00075C2F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5. Проводить і</w:t>
            </w:r>
            <w:r w:rsidRPr="00283898">
              <w:rPr>
                <w:sz w:val="24"/>
                <w:shd w:val="clear" w:color="auto" w:fill="FFFFFF"/>
              </w:rPr>
              <w:t>нформування керівництва про необхідність вжиття заходів для внесення змін до наказів директора Департаменту, визнання їх такими, що втратили чинність, або скасування.</w:t>
            </w:r>
          </w:p>
          <w:p w:rsidR="0078626F" w:rsidRPr="00283898" w:rsidRDefault="0078626F" w:rsidP="00075C2F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6. Вносить пропозиції</w:t>
            </w:r>
            <w:r w:rsidRPr="00283898">
              <w:rPr>
                <w:sz w:val="24"/>
                <w:shd w:val="clear" w:color="auto" w:fill="FFFFFF"/>
              </w:rPr>
              <w:t xml:space="preserve"> керівництву щодо подання наказів нормативно-правового характеру, які зачіпають права, свободи і законні інтереси громадян або мають міжвідомчий характер, на державну реєстрацію в Північно-Східному міжрегіональному управлінні Міністерства юстиції (м. Суми).</w:t>
            </w:r>
          </w:p>
          <w:p w:rsidR="0078626F" w:rsidRPr="00283898" w:rsidRDefault="0078626F" w:rsidP="00075C2F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7. Надає щомісячну звітність</w:t>
            </w:r>
            <w:r w:rsidRPr="00283898">
              <w:rPr>
                <w:sz w:val="24"/>
                <w:shd w:val="clear" w:color="auto" w:fill="FFFFFF"/>
              </w:rPr>
              <w:t xml:space="preserve"> про перелік прийнятих актів та розгляд судами справ про визнання зареєстрованих нормативно-правових актів незаконними чи такими, що не відповідають нормативно-правовим актам вищої юридичної сили повністю або в окремій його частині та забезпечення співпраці з Північно-Східним міжрегіональним упра</w:t>
            </w:r>
            <w:r>
              <w:rPr>
                <w:sz w:val="24"/>
                <w:shd w:val="clear" w:color="auto" w:fill="FFFFFF"/>
              </w:rPr>
              <w:t>влінням Міністерства юстиції (</w:t>
            </w:r>
            <w:proofErr w:type="spellStart"/>
            <w:r>
              <w:rPr>
                <w:sz w:val="24"/>
                <w:shd w:val="clear" w:color="auto" w:fill="FFFFFF"/>
              </w:rPr>
              <w:t>м.</w:t>
            </w:r>
            <w:r w:rsidRPr="00283898">
              <w:rPr>
                <w:sz w:val="24"/>
                <w:shd w:val="clear" w:color="auto" w:fill="FFFFFF"/>
              </w:rPr>
              <w:t>Суми</w:t>
            </w:r>
            <w:proofErr w:type="spellEnd"/>
            <w:r w:rsidRPr="00283898">
              <w:rPr>
                <w:sz w:val="24"/>
                <w:shd w:val="clear" w:color="auto" w:fill="FFFFFF"/>
              </w:rPr>
              <w:t>).</w:t>
            </w:r>
          </w:p>
          <w:p w:rsidR="0078626F" w:rsidRPr="00283898" w:rsidRDefault="0078626F" w:rsidP="00075C2F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 xml:space="preserve">8. </w:t>
            </w:r>
            <w:r w:rsidRPr="00283898">
              <w:rPr>
                <w:sz w:val="24"/>
                <w:shd w:val="clear" w:color="auto" w:fill="FFFFFF"/>
              </w:rPr>
              <w:t>Організ</w:t>
            </w:r>
            <w:r>
              <w:rPr>
                <w:sz w:val="24"/>
                <w:shd w:val="clear" w:color="auto" w:fill="FFFFFF"/>
              </w:rPr>
              <w:t>овує претензійну та позовну роботу, здійснює контроль</w:t>
            </w:r>
            <w:r w:rsidRPr="00283898">
              <w:rPr>
                <w:sz w:val="24"/>
                <w:shd w:val="clear" w:color="auto" w:fill="FFFFFF"/>
              </w:rPr>
              <w:t xml:space="preserve"> за її проведенням за поданням керівників структурних підрозділів Департаменту.</w:t>
            </w:r>
          </w:p>
          <w:p w:rsidR="0078626F" w:rsidRPr="00304908" w:rsidRDefault="0078626F" w:rsidP="00075C2F">
            <w:pPr>
              <w:contextualSpacing/>
              <w:jc w:val="both"/>
              <w:rPr>
                <w:sz w:val="24"/>
                <w:shd w:val="clear" w:color="auto" w:fill="FFFFFF"/>
              </w:rPr>
            </w:pPr>
          </w:p>
        </w:tc>
      </w:tr>
      <w:tr w:rsidR="0078626F" w:rsidRPr="00F36C66" w:rsidTr="00075C2F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78626F" w:rsidRPr="00F36C66" w:rsidRDefault="0078626F" w:rsidP="00075C2F">
            <w:pPr>
              <w:spacing w:after="20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78626F" w:rsidRPr="00F36C66" w:rsidRDefault="0078626F" w:rsidP="00075C2F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626F" w:rsidRPr="00F36C66" w:rsidTr="00075C2F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78626F" w:rsidRPr="00F36C66" w:rsidRDefault="0078626F" w:rsidP="00075C2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78626F" w:rsidRPr="00F36C66" w:rsidRDefault="0078626F" w:rsidP="00075C2F">
            <w:pPr>
              <w:jc w:val="both"/>
              <w:rPr>
                <w:rFonts w:eastAsia="Calibri"/>
                <w:sz w:val="24"/>
                <w:szCs w:val="24"/>
              </w:rPr>
            </w:pPr>
            <w:r w:rsidRPr="00F36C66">
              <w:rPr>
                <w:rFonts w:eastAsia="Calibri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>
              <w:rPr>
                <w:rFonts w:eastAsia="Calibri"/>
                <w:sz w:val="24"/>
                <w:szCs w:val="24"/>
              </w:rPr>
              <w:t>7050</w:t>
            </w:r>
            <w:r w:rsidRPr="00F36C66">
              <w:rPr>
                <w:rFonts w:eastAsia="Calibri"/>
                <w:sz w:val="24"/>
                <w:szCs w:val="24"/>
              </w:rPr>
              <w:t xml:space="preserve">,00, </w:t>
            </w:r>
            <w:r>
              <w:rPr>
                <w:rFonts w:eastAsia="Calibri"/>
                <w:sz w:val="24"/>
                <w:szCs w:val="24"/>
              </w:rPr>
              <w:t xml:space="preserve">надбавка за ранг державного службовця, </w:t>
            </w:r>
            <w:r w:rsidRPr="00F36C66">
              <w:rPr>
                <w:rFonts w:eastAsia="Calibri"/>
                <w:sz w:val="24"/>
                <w:szCs w:val="24"/>
              </w:rPr>
              <w:t>надбавка за вислугу років (за ная</w:t>
            </w:r>
            <w:r>
              <w:rPr>
                <w:rFonts w:eastAsia="Calibri"/>
                <w:sz w:val="24"/>
                <w:szCs w:val="24"/>
              </w:rPr>
              <w:t xml:space="preserve">вності стажу державної служби) </w:t>
            </w:r>
            <w:r w:rsidRPr="00F36C66">
              <w:rPr>
                <w:rFonts w:eastAsia="Calibri"/>
                <w:sz w:val="24"/>
                <w:szCs w:val="24"/>
              </w:rPr>
              <w:t>та премія (</w:t>
            </w:r>
            <w:r>
              <w:rPr>
                <w:rFonts w:eastAsia="Calibri"/>
                <w:sz w:val="24"/>
                <w:szCs w:val="24"/>
              </w:rPr>
              <w:t>у разі</w:t>
            </w:r>
            <w:r w:rsidRPr="00F36C66">
              <w:rPr>
                <w:rFonts w:eastAsia="Calibri"/>
                <w:sz w:val="24"/>
                <w:szCs w:val="24"/>
              </w:rPr>
              <w:t xml:space="preserve"> встановлення).</w:t>
            </w:r>
          </w:p>
          <w:p w:rsidR="0078626F" w:rsidRPr="00F36C66" w:rsidRDefault="0078626F" w:rsidP="00075C2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8626F" w:rsidRPr="00F36C66" w:rsidTr="00075C2F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78626F" w:rsidRPr="00F36C66" w:rsidRDefault="0078626F" w:rsidP="00075C2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78626F" w:rsidRPr="00F36C66" w:rsidRDefault="0078626F" w:rsidP="00075C2F">
            <w:pPr>
              <w:spacing w:after="20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78626F" w:rsidRPr="0024604A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604A">
              <w:rPr>
                <w:rFonts w:eastAsia="Calibri"/>
                <w:sz w:val="24"/>
                <w:szCs w:val="24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78626F" w:rsidRPr="00F36C66" w:rsidRDefault="0078626F" w:rsidP="00075C2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8626F" w:rsidRPr="00F36C66" w:rsidTr="00075C2F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78626F" w:rsidRPr="00F36C66" w:rsidRDefault="0078626F" w:rsidP="00075C2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104565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78626F" w:rsidRPr="009004E9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78626F" w:rsidRPr="009004E9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2. Резюме встановленої форми, згідно з додатком 2</w:t>
            </w:r>
            <w:r w:rsidRPr="009004E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-1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</w:t>
            </w:r>
          </w:p>
          <w:p w:rsidR="0078626F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8" w:anchor="n14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78626F" w:rsidRPr="00F77BA2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Додатки до заяви не є обов’язковими для подання.</w:t>
            </w:r>
          </w:p>
          <w:p w:rsidR="0078626F" w:rsidRPr="00F77BA2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 Копія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8626F" w:rsidRPr="00F77BA2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5. Додаткова інформація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стосовно досвіду роботи, професійної 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омпетентності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78626F" w:rsidRPr="009004E9" w:rsidRDefault="0078626F" w:rsidP="00075C2F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b/>
                <w:sz w:val="24"/>
                <w:szCs w:val="24"/>
                <w:lang w:eastAsia="en-US"/>
              </w:rPr>
              <w:t>Документи подаються: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 17:00 години 30 вересня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21 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року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 xml:space="preserve"> через Єдиний портал вакансій державної служби  (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CAREER</w:t>
            </w:r>
            <w:r w:rsidRPr="00F77BA2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GOV</w:t>
            </w:r>
            <w:r w:rsidRPr="00F77BA2"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  <w:r w:rsidRPr="00F77BA2">
              <w:rPr>
                <w:rFonts w:eastAsia="Calibri"/>
                <w:sz w:val="24"/>
                <w:szCs w:val="24"/>
                <w:lang w:val="en-US" w:eastAsia="en-US"/>
              </w:rPr>
              <w:t>UA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8626F" w:rsidRPr="009004E9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626F" w:rsidRPr="00F36C66" w:rsidTr="00075C2F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78626F" w:rsidRPr="00D712F5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2F5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78626F" w:rsidRPr="009004E9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78626F" w:rsidRPr="009004E9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626F" w:rsidRPr="00F36C66" w:rsidTr="00075C2F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78626F" w:rsidRPr="00F77BA2" w:rsidRDefault="0078626F" w:rsidP="00075C2F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Дата і час початку проведення тестування кандидатів.</w:t>
            </w:r>
          </w:p>
          <w:p w:rsidR="0078626F" w:rsidRPr="00F77BA2" w:rsidRDefault="0078626F" w:rsidP="00075C2F">
            <w:pPr>
              <w:spacing w:before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тестування.</w:t>
            </w:r>
          </w:p>
          <w:p w:rsidR="0078626F" w:rsidRPr="00F77BA2" w:rsidRDefault="0078626F" w:rsidP="00075C2F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Місце або спосіб проведення співбесіди (із зазначенням </w:t>
            </w: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електронної платформи для комунікації дистанційно)</w:t>
            </w:r>
          </w:p>
          <w:p w:rsidR="0078626F" w:rsidRPr="00F77BA2" w:rsidRDefault="0078626F" w:rsidP="00075C2F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gridSpan w:val="2"/>
          </w:tcPr>
          <w:p w:rsidR="0078626F" w:rsidRPr="00F77BA2" w:rsidRDefault="0078626F" w:rsidP="00075C2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04 жовтня</w:t>
            </w: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2021 року о 09</w:t>
            </w: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.00.</w:t>
            </w:r>
          </w:p>
          <w:p w:rsidR="0078626F" w:rsidRPr="00F77BA2" w:rsidRDefault="0078626F" w:rsidP="00075C2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8626F" w:rsidRPr="00F77BA2" w:rsidRDefault="0078626F" w:rsidP="00075C2F">
            <w:pPr>
              <w:spacing w:after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8626F" w:rsidRPr="00F77BA2" w:rsidRDefault="0078626F" w:rsidP="00075C2F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тестування за фізичної присутності кандидатів).</w:t>
            </w:r>
          </w:p>
          <w:p w:rsidR="0078626F" w:rsidRPr="00F77BA2" w:rsidRDefault="0078626F" w:rsidP="00075C2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співбесіди за фізичної присутності кандидатів).</w:t>
            </w:r>
          </w:p>
          <w:p w:rsidR="0078626F" w:rsidRPr="00F77BA2" w:rsidRDefault="0078626F" w:rsidP="00075C2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8626F" w:rsidRPr="00F77BA2" w:rsidRDefault="0078626F" w:rsidP="00075C2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8626F" w:rsidRPr="00F77BA2" w:rsidRDefault="0078626F" w:rsidP="00075C2F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77BA2">
              <w:rPr>
                <w:rFonts w:eastAsia="Calibri"/>
                <w:color w:val="000000" w:themeColor="text1"/>
                <w:sz w:val="24"/>
                <w:szCs w:val="24"/>
              </w:rPr>
              <w:t>. 418 (проведення співбесіди за фізичної присутності кандидатів).</w:t>
            </w:r>
          </w:p>
        </w:tc>
      </w:tr>
      <w:tr w:rsidR="0078626F" w:rsidRPr="00F36C66" w:rsidTr="00075C2F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78626F" w:rsidRPr="007B7E7C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7E7C">
              <w:rPr>
                <w:rFonts w:eastAsia="Calibri"/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78626F" w:rsidRPr="00235C4A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5C4A">
              <w:rPr>
                <w:rFonts w:eastAsia="Calibri"/>
                <w:sz w:val="24"/>
                <w:szCs w:val="24"/>
                <w:lang w:eastAsia="en-US"/>
              </w:rPr>
              <w:t>Кирієнко Юлія Григорівна</w:t>
            </w:r>
          </w:p>
          <w:p w:rsidR="0078626F" w:rsidRPr="00235C4A" w:rsidRDefault="0078626F" w:rsidP="00075C2F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235C4A">
              <w:rPr>
                <w:rFonts w:eastAsia="Calibri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235C4A">
              <w:rPr>
                <w:rFonts w:eastAsia="Calibri"/>
                <w:bCs/>
                <w:sz w:val="24"/>
                <w:szCs w:val="24"/>
                <w:lang w:eastAsia="uk-UA"/>
              </w:rPr>
              <w:t xml:space="preserve">. 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>(0462) 65-16-19</w:t>
            </w:r>
          </w:p>
          <w:p w:rsidR="0078626F" w:rsidRPr="00235C4A" w:rsidRDefault="0078626F" w:rsidP="00075C2F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5C4A">
              <w:rPr>
                <w:rFonts w:eastAsia="Calibri"/>
                <w:sz w:val="24"/>
                <w:szCs w:val="24"/>
                <w:lang w:eastAsia="uk-UA"/>
              </w:rPr>
              <w:t>deko</w:t>
            </w:r>
            <w:proofErr w:type="spellEnd"/>
            <w:r w:rsidRPr="00235C4A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Pr="00165606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165606">
              <w:rPr>
                <w:rFonts w:eastAsia="Calibri"/>
                <w:sz w:val="24"/>
                <w:szCs w:val="24"/>
                <w:lang w:eastAsia="uk-UA"/>
              </w:rPr>
              <w:t>2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>@cg.gov.ua</w:t>
            </w:r>
          </w:p>
        </w:tc>
      </w:tr>
      <w:tr w:rsidR="0078626F" w:rsidRPr="00CB673E" w:rsidTr="00075C2F">
        <w:tc>
          <w:tcPr>
            <w:tcW w:w="9606" w:type="dxa"/>
            <w:gridSpan w:val="5"/>
          </w:tcPr>
          <w:p w:rsidR="0078626F" w:rsidRPr="00CB673E" w:rsidRDefault="0078626F" w:rsidP="00075C2F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CB673E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78626F" w:rsidRPr="00CB673E" w:rsidTr="00075C2F">
        <w:trPr>
          <w:trHeight w:val="435"/>
        </w:trPr>
        <w:tc>
          <w:tcPr>
            <w:tcW w:w="675" w:type="dxa"/>
            <w:gridSpan w:val="2"/>
          </w:tcPr>
          <w:p w:rsidR="0078626F" w:rsidRPr="0002681A" w:rsidRDefault="0078626F" w:rsidP="00075C2F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626F" w:rsidRPr="0002681A" w:rsidRDefault="0078626F" w:rsidP="00075C2F">
            <w:pPr>
              <w:jc w:val="both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gridSpan w:val="2"/>
          </w:tcPr>
          <w:p w:rsidR="0078626F" w:rsidRPr="005730D6" w:rsidRDefault="0078626F" w:rsidP="00075C2F">
            <w:pPr>
              <w:jc w:val="both"/>
              <w:rPr>
                <w:rFonts w:eastAsia="Calibri"/>
                <w:sz w:val="24"/>
                <w:szCs w:val="24"/>
              </w:rPr>
            </w:pPr>
            <w:r w:rsidRPr="005730D6">
              <w:rPr>
                <w:rFonts w:eastAsia="Calibri"/>
                <w:sz w:val="24"/>
                <w:szCs w:val="24"/>
                <w:lang w:eastAsia="en-US"/>
              </w:rPr>
              <w:t xml:space="preserve">Вища освіта за освітнім ступенем не нижче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магістра.</w:t>
            </w:r>
          </w:p>
          <w:p w:rsidR="0078626F" w:rsidRPr="00D31FBB" w:rsidRDefault="0078626F" w:rsidP="00075C2F">
            <w:pPr>
              <w:rPr>
                <w:rFonts w:eastAsia="Calibri"/>
                <w:sz w:val="24"/>
                <w:szCs w:val="24"/>
              </w:rPr>
            </w:pPr>
          </w:p>
          <w:p w:rsidR="0078626F" w:rsidRPr="00D31FBB" w:rsidRDefault="0078626F" w:rsidP="00075C2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626F" w:rsidRPr="00CB673E" w:rsidTr="00075C2F">
        <w:trPr>
          <w:trHeight w:val="408"/>
        </w:trPr>
        <w:tc>
          <w:tcPr>
            <w:tcW w:w="675" w:type="dxa"/>
            <w:gridSpan w:val="2"/>
          </w:tcPr>
          <w:p w:rsidR="0078626F" w:rsidRPr="0002681A" w:rsidRDefault="0078626F" w:rsidP="00075C2F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626F" w:rsidRPr="0002681A" w:rsidRDefault="0078626F" w:rsidP="00075C2F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78626F" w:rsidRPr="0002681A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Досвід роботи на посадах державної служби категорії «Б» та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78626F" w:rsidRPr="00CB673E" w:rsidTr="00075C2F">
        <w:trPr>
          <w:trHeight w:val="453"/>
        </w:trPr>
        <w:tc>
          <w:tcPr>
            <w:tcW w:w="675" w:type="dxa"/>
            <w:gridSpan w:val="2"/>
          </w:tcPr>
          <w:p w:rsidR="0078626F" w:rsidRPr="0002681A" w:rsidRDefault="0078626F" w:rsidP="00075C2F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8626F" w:rsidRPr="0002681A" w:rsidRDefault="0078626F" w:rsidP="00075C2F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78626F" w:rsidRPr="0002681A" w:rsidRDefault="0078626F" w:rsidP="00075C2F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78626F" w:rsidRPr="0002681A" w:rsidRDefault="0078626F" w:rsidP="00075C2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626F" w:rsidRPr="00CB673E" w:rsidTr="00075C2F">
        <w:tc>
          <w:tcPr>
            <w:tcW w:w="9606" w:type="dxa"/>
            <w:gridSpan w:val="5"/>
            <w:vAlign w:val="center"/>
          </w:tcPr>
          <w:p w:rsidR="0078626F" w:rsidRPr="00CB673E" w:rsidRDefault="0078626F" w:rsidP="00075C2F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A10CF6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78626F" w:rsidRPr="00A10CF6" w:rsidTr="00075C2F">
        <w:tc>
          <w:tcPr>
            <w:tcW w:w="3510" w:type="dxa"/>
            <w:gridSpan w:val="4"/>
          </w:tcPr>
          <w:p w:rsidR="0078626F" w:rsidRPr="00A10CF6" w:rsidRDefault="0078626F" w:rsidP="00075C2F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CF6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096" w:type="dxa"/>
          </w:tcPr>
          <w:p w:rsidR="0078626F" w:rsidRPr="00A10CF6" w:rsidRDefault="0078626F" w:rsidP="00075C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0CF6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78626F" w:rsidRPr="00A048BC" w:rsidTr="00075C2F">
        <w:tc>
          <w:tcPr>
            <w:tcW w:w="675" w:type="dxa"/>
            <w:gridSpan w:val="2"/>
          </w:tcPr>
          <w:p w:rsidR="0078626F" w:rsidRPr="00A048BC" w:rsidRDefault="0078626F" w:rsidP="00075C2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48B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78626F" w:rsidRPr="00A048BC" w:rsidRDefault="0078626F" w:rsidP="00075C2F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Управління організацією роботи</w:t>
            </w:r>
          </w:p>
        </w:tc>
        <w:tc>
          <w:tcPr>
            <w:tcW w:w="6096" w:type="dxa"/>
          </w:tcPr>
          <w:p w:rsidR="0078626F" w:rsidRPr="00A048BC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чітке бачення цілі;</w:t>
            </w:r>
          </w:p>
          <w:p w:rsidR="0078626F" w:rsidRPr="00A048BC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ефективне управління ресурсами;</w:t>
            </w:r>
          </w:p>
          <w:p w:rsidR="0078626F" w:rsidRPr="00A048BC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чітке планування реалізації;</w:t>
            </w:r>
          </w:p>
          <w:p w:rsidR="0078626F" w:rsidRPr="00A048BC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ефективне формування та управління процесами.</w:t>
            </w:r>
          </w:p>
        </w:tc>
      </w:tr>
      <w:tr w:rsidR="0078626F" w:rsidRPr="00CE30E9" w:rsidTr="00075C2F">
        <w:tc>
          <w:tcPr>
            <w:tcW w:w="675" w:type="dxa"/>
            <w:gridSpan w:val="2"/>
          </w:tcPr>
          <w:p w:rsidR="0078626F" w:rsidRPr="00CE30E9" w:rsidRDefault="0078626F" w:rsidP="00075C2F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78626F" w:rsidRPr="00CE30E9" w:rsidRDefault="0078626F" w:rsidP="00075C2F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78626F" w:rsidRPr="00CE30E9" w:rsidRDefault="0078626F" w:rsidP="00075C2F">
            <w:pPr>
              <w:pStyle w:val="a5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78626F" w:rsidRPr="00A048BC" w:rsidTr="00075C2F">
        <w:tc>
          <w:tcPr>
            <w:tcW w:w="675" w:type="dxa"/>
            <w:gridSpan w:val="2"/>
          </w:tcPr>
          <w:p w:rsidR="0078626F" w:rsidRPr="00A048BC" w:rsidRDefault="0078626F" w:rsidP="00075C2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48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gridSpan w:val="2"/>
          </w:tcPr>
          <w:p w:rsidR="0078626F" w:rsidRPr="00A048BC" w:rsidRDefault="0078626F" w:rsidP="00075C2F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Аналітичні здібності</w:t>
            </w:r>
          </w:p>
        </w:tc>
        <w:tc>
          <w:tcPr>
            <w:tcW w:w="6096" w:type="dxa"/>
          </w:tcPr>
          <w:p w:rsidR="0078626F" w:rsidRPr="00A048BC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8626F" w:rsidRPr="00A048BC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встановлювати причинно-наслідкові зв’язки;</w:t>
            </w:r>
          </w:p>
          <w:p w:rsidR="0078626F" w:rsidRPr="00A048BC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78626F" w:rsidRPr="00235C4A" w:rsidTr="00075C2F">
        <w:tc>
          <w:tcPr>
            <w:tcW w:w="675" w:type="dxa"/>
            <w:gridSpan w:val="2"/>
          </w:tcPr>
          <w:p w:rsidR="0078626F" w:rsidRPr="00235C4A" w:rsidRDefault="0078626F" w:rsidP="00075C2F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78626F" w:rsidRPr="00235C4A" w:rsidRDefault="0078626F" w:rsidP="00075C2F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78626F" w:rsidRPr="00235C4A" w:rsidRDefault="0078626F" w:rsidP="00075C2F">
            <w:pPr>
              <w:pStyle w:val="a5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78626F" w:rsidRPr="0031559F" w:rsidTr="00075C2F">
        <w:tc>
          <w:tcPr>
            <w:tcW w:w="675" w:type="dxa"/>
            <w:gridSpan w:val="2"/>
          </w:tcPr>
          <w:p w:rsidR="0078626F" w:rsidRPr="0031559F" w:rsidRDefault="0078626F" w:rsidP="00075C2F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78626F" w:rsidRPr="0031559F" w:rsidRDefault="0078626F" w:rsidP="00075C2F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Робота з великими масивами інформації</w:t>
            </w:r>
          </w:p>
        </w:tc>
        <w:tc>
          <w:tcPr>
            <w:tcW w:w="6096" w:type="dxa"/>
          </w:tcPr>
          <w:p w:rsidR="0078626F" w:rsidRPr="0031559F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встановлювати логічні взаємозв’язки;</w:t>
            </w:r>
          </w:p>
          <w:p w:rsidR="0078626F" w:rsidRPr="00284901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систематизувати великий масив інформації</w:t>
            </w: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.</w:t>
            </w:r>
          </w:p>
        </w:tc>
      </w:tr>
      <w:tr w:rsidR="0078626F" w:rsidRPr="000E0E96" w:rsidTr="00075C2F">
        <w:trPr>
          <w:trHeight w:val="163"/>
        </w:trPr>
        <w:tc>
          <w:tcPr>
            <w:tcW w:w="675" w:type="dxa"/>
            <w:gridSpan w:val="2"/>
          </w:tcPr>
          <w:p w:rsidR="0078626F" w:rsidRPr="000E0E96" w:rsidRDefault="0078626F" w:rsidP="00075C2F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2835" w:type="dxa"/>
            <w:gridSpan w:val="2"/>
          </w:tcPr>
          <w:p w:rsidR="0078626F" w:rsidRPr="000E0E96" w:rsidRDefault="0078626F" w:rsidP="00075C2F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Цифрова грамотність</w:t>
            </w:r>
          </w:p>
        </w:tc>
        <w:tc>
          <w:tcPr>
            <w:tcW w:w="6096" w:type="dxa"/>
          </w:tcPr>
          <w:p w:rsidR="0078626F" w:rsidRPr="000E0E96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комп’ютерні пристрої, базове офісне спеціалізоване програмне забезпечення для ефективного виконання своїх посадових обов’язків;</w:t>
            </w:r>
          </w:p>
          <w:p w:rsidR="0078626F" w:rsidRPr="000E0E96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lastRenderedPageBreak/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78626F" w:rsidRPr="000E0E96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працювати з документами в різних цифрових формах; зберігати, накопичувати, впорядковувати, архівувати цифрові ресурси та дані різних типів;</w:t>
            </w:r>
          </w:p>
          <w:p w:rsidR="0078626F" w:rsidRPr="000E0E96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78626F" w:rsidRPr="000E0E96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78626F" w:rsidRPr="00052C01" w:rsidTr="00075C2F">
        <w:tc>
          <w:tcPr>
            <w:tcW w:w="675" w:type="dxa"/>
            <w:gridSpan w:val="2"/>
          </w:tcPr>
          <w:p w:rsidR="0078626F" w:rsidRPr="00052C01" w:rsidRDefault="0078626F" w:rsidP="00075C2F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78626F" w:rsidRPr="00052C01" w:rsidRDefault="0078626F" w:rsidP="00075C2F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78626F" w:rsidRPr="00052C01" w:rsidRDefault="0078626F" w:rsidP="00075C2F">
            <w:pPr>
              <w:pStyle w:val="a5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78626F" w:rsidRPr="0031559F" w:rsidTr="00075C2F">
        <w:tc>
          <w:tcPr>
            <w:tcW w:w="675" w:type="dxa"/>
            <w:gridSpan w:val="2"/>
          </w:tcPr>
          <w:p w:rsidR="0078626F" w:rsidRPr="0031559F" w:rsidRDefault="0078626F" w:rsidP="00075C2F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2835" w:type="dxa"/>
            <w:gridSpan w:val="2"/>
          </w:tcPr>
          <w:p w:rsidR="0078626F" w:rsidRPr="0031559F" w:rsidRDefault="0078626F" w:rsidP="00075C2F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Комунікація та взаємодія</w:t>
            </w:r>
          </w:p>
        </w:tc>
        <w:tc>
          <w:tcPr>
            <w:tcW w:w="6096" w:type="dxa"/>
          </w:tcPr>
          <w:p w:rsidR="0078626F" w:rsidRPr="0031559F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78626F" w:rsidRPr="0031559F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ефективно взаємодіяти – дослухатися, сприймати та викладати думку;</w:t>
            </w:r>
          </w:p>
          <w:p w:rsidR="0078626F" w:rsidRPr="0031559F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публічно виступати перед аудиторією;</w:t>
            </w:r>
          </w:p>
          <w:p w:rsidR="0078626F" w:rsidRPr="0031559F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78626F" w:rsidRPr="000E0E96" w:rsidTr="00075C2F">
        <w:tc>
          <w:tcPr>
            <w:tcW w:w="675" w:type="dxa"/>
            <w:gridSpan w:val="2"/>
          </w:tcPr>
          <w:p w:rsidR="0078626F" w:rsidRPr="000E0E96" w:rsidRDefault="0078626F" w:rsidP="00075C2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78626F" w:rsidRPr="000E0E96" w:rsidRDefault="0078626F" w:rsidP="00075C2F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78626F" w:rsidRPr="000E0E96" w:rsidRDefault="0078626F" w:rsidP="0078626F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78626F" w:rsidRPr="000E0E96" w:rsidTr="00075C2F">
        <w:tc>
          <w:tcPr>
            <w:tcW w:w="675" w:type="dxa"/>
            <w:gridSpan w:val="2"/>
          </w:tcPr>
          <w:p w:rsidR="0078626F" w:rsidRPr="000E0E96" w:rsidRDefault="0078626F" w:rsidP="00075C2F">
            <w:pPr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78626F" w:rsidRPr="000E0E96" w:rsidRDefault="0078626F" w:rsidP="00075C2F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78626F" w:rsidRPr="000E0E96" w:rsidRDefault="0078626F" w:rsidP="00075C2F">
            <w:pPr>
              <w:pStyle w:val="a5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78626F" w:rsidRPr="00480D73" w:rsidTr="00075C2F">
        <w:tc>
          <w:tcPr>
            <w:tcW w:w="9606" w:type="dxa"/>
            <w:gridSpan w:val="5"/>
          </w:tcPr>
          <w:p w:rsidR="0078626F" w:rsidRPr="00480D73" w:rsidRDefault="0078626F" w:rsidP="00075C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8626F" w:rsidRPr="00480D73" w:rsidRDefault="0078626F" w:rsidP="00075C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Професійні знання</w:t>
            </w:r>
          </w:p>
        </w:tc>
      </w:tr>
      <w:tr w:rsidR="0078626F" w:rsidRPr="00480D73" w:rsidTr="00075C2F">
        <w:tc>
          <w:tcPr>
            <w:tcW w:w="3369" w:type="dxa"/>
            <w:gridSpan w:val="3"/>
          </w:tcPr>
          <w:p w:rsidR="0078626F" w:rsidRPr="00480D73" w:rsidRDefault="0078626F" w:rsidP="00075C2F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78626F" w:rsidRDefault="0078626F" w:rsidP="00075C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  <w:p w:rsidR="0078626F" w:rsidRPr="00480D73" w:rsidRDefault="0078626F" w:rsidP="00075C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8626F" w:rsidRPr="00205288" w:rsidTr="00075C2F">
        <w:tc>
          <w:tcPr>
            <w:tcW w:w="675" w:type="dxa"/>
            <w:gridSpan w:val="2"/>
          </w:tcPr>
          <w:p w:rsidR="0078626F" w:rsidRPr="00205288" w:rsidRDefault="0078626F" w:rsidP="00075C2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78626F" w:rsidRPr="00205288" w:rsidRDefault="0078626F" w:rsidP="00075C2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78626F" w:rsidRPr="00205288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78626F" w:rsidRPr="00205288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78626F" w:rsidRPr="00205288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78626F" w:rsidRPr="00205288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Закону України «Про запобігання корупції»</w:t>
            </w:r>
          </w:p>
          <w:p w:rsidR="0078626F" w:rsidRPr="00205288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та іншого законодавства.</w:t>
            </w:r>
          </w:p>
        </w:tc>
      </w:tr>
      <w:tr w:rsidR="0078626F" w:rsidRPr="00205288" w:rsidTr="00075C2F">
        <w:tc>
          <w:tcPr>
            <w:tcW w:w="675" w:type="dxa"/>
            <w:gridSpan w:val="2"/>
          </w:tcPr>
          <w:p w:rsidR="0078626F" w:rsidRPr="00205288" w:rsidRDefault="0078626F" w:rsidP="00075C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78626F" w:rsidRPr="00205288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78626F" w:rsidRPr="00205288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626F" w:rsidRPr="00D56EA3" w:rsidTr="00075C2F">
        <w:tc>
          <w:tcPr>
            <w:tcW w:w="675" w:type="dxa"/>
            <w:gridSpan w:val="2"/>
          </w:tcPr>
          <w:p w:rsidR="0078626F" w:rsidRPr="00205288" w:rsidRDefault="0078626F" w:rsidP="00075C2F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78626F" w:rsidRPr="00205288" w:rsidRDefault="0078626F" w:rsidP="00075C2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 законодавства у сфері</w:t>
            </w:r>
          </w:p>
        </w:tc>
        <w:tc>
          <w:tcPr>
            <w:tcW w:w="6237" w:type="dxa"/>
            <w:gridSpan w:val="2"/>
          </w:tcPr>
          <w:p w:rsidR="0078626F" w:rsidRPr="00D56EA3" w:rsidRDefault="0078626F" w:rsidP="00075C2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6EA3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78626F" w:rsidRPr="00284901" w:rsidRDefault="0078626F" w:rsidP="00075C2F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Бюджетного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кодекс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78626F" w:rsidRPr="00284901" w:rsidRDefault="0078626F" w:rsidP="00075C2F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Кодекс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адміністративні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правопорушення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78626F" w:rsidRPr="00284901" w:rsidRDefault="0078626F" w:rsidP="00075C2F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Кодекс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адміністративного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судочинства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78626F" w:rsidRPr="00284901" w:rsidRDefault="0078626F" w:rsidP="00075C2F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Кодекс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законів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працю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78626F" w:rsidRPr="00284901" w:rsidRDefault="0078626F" w:rsidP="00075C2F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Закон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основні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засади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здійснення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державного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фінансового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контролю в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Україні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»;</w:t>
            </w:r>
          </w:p>
          <w:p w:rsidR="0078626F" w:rsidRPr="00284901" w:rsidRDefault="0078626F" w:rsidP="00075C2F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Закон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«Про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захист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персональних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даних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78626F" w:rsidRPr="008F47F6" w:rsidRDefault="0078626F" w:rsidP="00075C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Закону України «Про охорону навколишнього природного середовища»;</w:t>
            </w:r>
          </w:p>
          <w:p w:rsidR="0078626F" w:rsidRPr="008F47F6" w:rsidRDefault="0078626F" w:rsidP="00075C2F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  <w:hyperlink r:id="rId9" w:history="1">
              <w:r w:rsidRPr="008F47F6">
                <w:rPr>
                  <w:rFonts w:eastAsia="Calibri"/>
                  <w:lang w:val="uk-UA" w:eastAsia="en-US"/>
                </w:rPr>
                <w:t>Постанови Кабінету Міністрів України від 17 вересня 1996 року №1147 «Про затвердження переліку видів діяльності, що належать до природоохоронних заходів</w:t>
              </w:r>
            </w:hyperlink>
            <w:r w:rsidRPr="008F47F6">
              <w:rPr>
                <w:rFonts w:eastAsia="Calibri"/>
                <w:lang w:val="uk-UA" w:eastAsia="en-US"/>
              </w:rPr>
              <w:t>».</w:t>
            </w:r>
          </w:p>
          <w:p w:rsidR="0078626F" w:rsidRPr="00870F4D" w:rsidRDefault="0078626F" w:rsidP="00075C2F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78626F" w:rsidRDefault="0078626F" w:rsidP="0078626F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78626F" w:rsidRDefault="0078626F" w:rsidP="0078626F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7F6">
        <w:rPr>
          <w:rFonts w:eastAsia="Calibri"/>
          <w:bCs/>
          <w:iCs/>
          <w:sz w:val="28"/>
          <w:szCs w:val="28"/>
          <w:lang w:eastAsia="en-US"/>
        </w:rPr>
        <w:t xml:space="preserve">Головний спеціаліст </w:t>
      </w:r>
      <w:r>
        <w:rPr>
          <w:rFonts w:eastAsia="Calibri"/>
          <w:bCs/>
          <w:iCs/>
          <w:sz w:val="28"/>
          <w:szCs w:val="28"/>
          <w:lang w:eastAsia="en-US"/>
        </w:rPr>
        <w:t>з питань персоналу</w:t>
      </w:r>
    </w:p>
    <w:p w:rsidR="0078626F" w:rsidRDefault="0078626F" w:rsidP="0078626F">
      <w:pPr>
        <w:contextualSpacing/>
        <w:jc w:val="both"/>
        <w:rPr>
          <w:sz w:val="28"/>
        </w:rPr>
      </w:pPr>
      <w:r>
        <w:rPr>
          <w:sz w:val="28"/>
        </w:rPr>
        <w:t>Д</w:t>
      </w:r>
      <w:r w:rsidRPr="001B7BEF">
        <w:rPr>
          <w:sz w:val="28"/>
        </w:rPr>
        <w:t>епартаменту</w:t>
      </w:r>
      <w:r>
        <w:rPr>
          <w:sz w:val="28"/>
        </w:rPr>
        <w:t xml:space="preserve"> </w:t>
      </w:r>
      <w:r w:rsidRPr="001B7BEF">
        <w:rPr>
          <w:sz w:val="28"/>
        </w:rPr>
        <w:t>екології та природних ресурсів</w:t>
      </w:r>
    </w:p>
    <w:p w:rsidR="0078626F" w:rsidRDefault="0078626F" w:rsidP="0078626F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B7BEF">
        <w:rPr>
          <w:sz w:val="28"/>
        </w:rPr>
        <w:t>Чернігівської о</w:t>
      </w:r>
      <w:r>
        <w:rPr>
          <w:sz w:val="28"/>
        </w:rPr>
        <w:t>бласної державної адміністрації</w:t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ab/>
        <w:t>Юлія КИРІЄНКО</w:t>
      </w:r>
    </w:p>
    <w:p w:rsidR="0099601D" w:rsidRDefault="0099601D"/>
    <w:sectPr w:rsidR="0099601D" w:rsidSect="003745B3">
      <w:headerReference w:type="default" r:id="rId10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6F" w:rsidRDefault="0078626F" w:rsidP="0078626F">
      <w:r>
        <w:separator/>
      </w:r>
    </w:p>
  </w:endnote>
  <w:endnote w:type="continuationSeparator" w:id="0">
    <w:p w:rsidR="0078626F" w:rsidRDefault="0078626F" w:rsidP="007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6F" w:rsidRDefault="0078626F" w:rsidP="0078626F">
      <w:r>
        <w:separator/>
      </w:r>
    </w:p>
  </w:footnote>
  <w:footnote w:type="continuationSeparator" w:id="0">
    <w:p w:rsidR="0078626F" w:rsidRDefault="0078626F" w:rsidP="0078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78626F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F"/>
    <w:rsid w:val="0078626F"/>
    <w:rsid w:val="009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9081"/>
  <w15:chartTrackingRefBased/>
  <w15:docId w15:val="{90BD1C8F-72CB-4D12-A474-EEE8F269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78626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8626F"/>
    <w:rPr>
      <w:rFonts w:ascii="Times New Roman" w:eastAsia="Times New Roman" w:hAnsi="Times New Roman" w:cs="Times New Roman"/>
      <w:b/>
      <w:spacing w:val="-1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7862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626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8626F"/>
    <w:pPr>
      <w:ind w:left="720"/>
      <w:contextualSpacing/>
    </w:pPr>
  </w:style>
  <w:style w:type="paragraph" w:styleId="a6">
    <w:name w:val="Normal (Web)"/>
    <w:basedOn w:val="a"/>
    <w:rsid w:val="0078626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78626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26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27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2021-09-23T13:12:00Z</dcterms:created>
  <dcterms:modified xsi:type="dcterms:W3CDTF">2021-09-23T13:14:00Z</dcterms:modified>
</cp:coreProperties>
</file>